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CLÁUSULA ARBITRAL MODELO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Las partes acuerdan que todo litigio y controversia resultante de este contrato o relativo a éste, se resolverá mediante el arbitraje organizado y administrado por el Centro de Arbitraje y Resolución de Conflictos ACIR Internacional de conformidad con sus reglamentos y directivas vigentes, a los cuales las partes se someten libremente, señalando que el laudo que se emita en el proceso será inapelable y definitivo. Asimismo, las partes acuerdan someterse al arbitraje de emergencia de ser necesario, para tal fin nos sometemos a la normativa aplicable para tal efecto.</w:t>
      </w:r>
    </w:p>
    <w:sectPr>
      <w:headerReference r:id="rId6" w:type="default"/>
      <w:footerReference r:id="rId7" w:type="default"/>
      <w:pgSz w:h="16838" w:w="11906" w:orient="portrait"/>
      <w:pgMar w:bottom="2948" w:top="2608" w:left="102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 Medium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34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34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34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-648334</wp:posOffset>
          </wp:positionH>
          <wp:positionV relativeFrom="paragraph">
            <wp:posOffset>-459671</wp:posOffset>
          </wp:positionV>
          <wp:extent cx="7598004" cy="1073937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8004" cy="107393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10" Type="http://schemas.openxmlformats.org/officeDocument/2006/relationships/font" Target="fonts/MontserratMedium-boldItalic.ttf"/><Relationship Id="rId9" Type="http://schemas.openxmlformats.org/officeDocument/2006/relationships/font" Target="fonts/MontserratMedium-italic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MontserratMedium-regular.ttf"/><Relationship Id="rId8" Type="http://schemas.openxmlformats.org/officeDocument/2006/relationships/font" Target="fonts/MontserratMediu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